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宋体"/>
          <w:b/>
          <w:i/>
          <w:sz w:val="28"/>
          <w:lang w:val="en-US" w:eastAsia="zh-CN"/>
        </w:rPr>
      </w:pPr>
      <w:bookmarkStart w:id="10" w:name="_GoBack"/>
      <w:r>
        <w:rPr>
          <w:b/>
          <w:sz w:val="24"/>
        </w:rPr>
        <w:t>3GPP TSG</w:t>
      </w:r>
      <w:r>
        <w:rPr>
          <w:rFonts w:hint="eastAsia" w:eastAsia="宋体"/>
          <w:b/>
          <w:sz w:val="24"/>
          <w:lang w:val="en-US" w:eastAsia="zh-CN"/>
        </w:rPr>
        <w:t xml:space="preserve"> </w:t>
      </w:r>
      <w:r>
        <w:rPr>
          <w:b/>
          <w:sz w:val="24"/>
        </w:rPr>
        <w:t>RAN WG1 #1</w:t>
      </w:r>
      <w:r>
        <w:rPr>
          <w:rFonts w:hint="eastAsia" w:eastAsia="宋体"/>
          <w:b/>
          <w:sz w:val="24"/>
          <w:lang w:val="en-US" w:eastAsia="zh-CN"/>
        </w:rPr>
        <w:t>11</w:t>
      </w:r>
      <w:r>
        <w:rPr>
          <w:b/>
          <w:i/>
          <w:sz w:val="28"/>
        </w:rPr>
        <w:tab/>
      </w:r>
      <w:r>
        <w:rPr>
          <w:b/>
          <w:i w:val="0"/>
          <w:iCs/>
          <w:sz w:val="28"/>
        </w:rPr>
        <w:t>R1-22</w:t>
      </w:r>
      <w:r>
        <w:rPr>
          <w:rFonts w:hint="eastAsia" w:eastAsia="宋体"/>
          <w:b/>
          <w:i w:val="0"/>
          <w:iCs/>
          <w:sz w:val="28"/>
          <w:lang w:val="en-US" w:eastAsia="zh-CN"/>
        </w:rPr>
        <w:t>11279</w:t>
      </w:r>
    </w:p>
    <w:p>
      <w:pPr>
        <w:pStyle w:val="118"/>
        <w:tabs>
          <w:tab w:val="right" w:pos="9639"/>
        </w:tabs>
        <w:spacing w:after="0"/>
        <w:outlineLvl w:val="9"/>
        <w:rPr>
          <w:rFonts w:cs="Times New Roman"/>
          <w:b/>
          <w:sz w:val="24"/>
          <w:lang w:eastAsia="ja-JP"/>
        </w:rPr>
      </w:pPr>
      <w:r>
        <w:rPr>
          <w:rFonts w:hint="default" w:cs="Times New Roman"/>
          <w:b/>
          <w:sz w:val="24"/>
          <w:lang w:val="en-US" w:eastAsia="ja-JP"/>
        </w:rPr>
        <w:t>Toulouse</w:t>
      </w:r>
      <w:r>
        <w:rPr>
          <w:rFonts w:cs="Times New Roman"/>
          <w:b/>
          <w:sz w:val="24"/>
          <w:lang w:val="en-US" w:eastAsia="ja-JP"/>
        </w:rPr>
        <w:t>,</w:t>
      </w:r>
      <w:r>
        <w:rPr>
          <w:rFonts w:hint="default" w:cs="Times New Roman"/>
          <w:b/>
          <w:sz w:val="24"/>
          <w:lang w:val="en-US" w:eastAsia="ja-JP"/>
        </w:rPr>
        <w:t xml:space="preserve"> France,</w:t>
      </w:r>
      <w:r>
        <w:rPr>
          <w:rFonts w:cs="Times New Roman"/>
          <w:b/>
          <w:sz w:val="24"/>
          <w:lang w:val="en-US" w:eastAsia="ja-JP"/>
        </w:rPr>
        <w:t xml:space="preserve"> </w:t>
      </w:r>
      <w:r>
        <w:rPr>
          <w:rFonts w:hint="eastAsia" w:eastAsia="宋体" w:cs="Times New Roman"/>
          <w:b/>
          <w:sz w:val="24"/>
          <w:lang w:val="en-US" w:eastAsia="zh-CN"/>
        </w:rPr>
        <w:t>November</w:t>
      </w:r>
      <w:r>
        <w:rPr>
          <w:rFonts w:cs="Times New Roman"/>
          <w:b/>
          <w:sz w:val="24"/>
          <w:lang w:val="en-US" w:eastAsia="ja-JP"/>
        </w:rPr>
        <w:t xml:space="preserve"> </w:t>
      </w:r>
      <w:r>
        <w:rPr>
          <w:rFonts w:hint="eastAsia" w:eastAsia="宋体" w:cs="Times New Roman"/>
          <w:b/>
          <w:sz w:val="24"/>
          <w:lang w:val="en-US" w:eastAsia="zh-CN"/>
        </w:rPr>
        <w:t>14</w:t>
      </w:r>
      <w:r>
        <w:rPr>
          <w:rFonts w:hint="default" w:cs="Times New Roman"/>
          <w:b/>
          <w:sz w:val="24"/>
          <w:vertAlign w:val="superscript"/>
          <w:lang w:val="en-US" w:eastAsia="ja-JP"/>
        </w:rPr>
        <w:t>th</w:t>
      </w:r>
      <w:r>
        <w:rPr>
          <w:rFonts w:hint="default" w:cs="Times New Roman"/>
          <w:b/>
          <w:sz w:val="24"/>
          <w:lang w:val="en-US" w:eastAsia="ja-JP"/>
        </w:rPr>
        <w:t xml:space="preserve"> - </w:t>
      </w:r>
      <w:r>
        <w:rPr>
          <w:rFonts w:hint="eastAsia" w:eastAsia="宋体" w:cs="Times New Roman"/>
          <w:b/>
          <w:sz w:val="24"/>
          <w:lang w:val="en-US" w:eastAsia="zh-CN"/>
        </w:rPr>
        <w:t>18</w:t>
      </w:r>
      <w:r>
        <w:rPr>
          <w:rFonts w:hint="default" w:cs="Times New Roman"/>
          <w:b/>
          <w:sz w:val="24"/>
          <w:vertAlign w:val="superscript"/>
          <w:lang w:val="en-US" w:eastAsia="ja-JP"/>
        </w:rPr>
        <w:t>th</w:t>
      </w:r>
      <w:r>
        <w:rPr>
          <w:rFonts w:cs="Times New Roman"/>
          <w:b/>
          <w:sz w:val="24"/>
          <w:lang w:val="en-US" w:eastAsia="ja-JP"/>
        </w:rPr>
        <w:t>, 2022</w:t>
      </w:r>
    </w:p>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rFonts w:hint="eastAsia" w:eastAsia="宋体"/>
                <w:b/>
                <w:sz w:val="28"/>
                <w:lang w:val="en-US" w:eastAsia="zh-CN"/>
              </w:rPr>
            </w:pPr>
            <w:r>
              <w:rPr>
                <w:b/>
                <w:sz w:val="28"/>
              </w:rPr>
              <w:t>38.21</w:t>
            </w:r>
            <w:r>
              <w:rPr>
                <w:rFonts w:hint="eastAsia" w:eastAsia="宋体"/>
                <w:b/>
                <w:sz w:val="28"/>
                <w:lang w:val="en-US" w:eastAsia="zh-CN"/>
              </w:rPr>
              <w:t>4</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pPr>
            <w:r>
              <w:rPr>
                <w:b/>
                <w:color w:val="FF0000"/>
                <w:sz w:val="28"/>
              </w:rPr>
              <w:t>DRAFT</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w:t>
            </w:r>
            <w:r>
              <w:rPr>
                <w:rFonts w:hint="eastAsia" w:eastAsia="宋体"/>
                <w:b/>
                <w:sz w:val="28"/>
                <w:lang w:val="en-US" w:eastAsia="zh-CN"/>
              </w:rPr>
              <w:t>3</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498"/>
        <w:gridCol w:w="637"/>
        <w:gridCol w:w="284"/>
        <w:gridCol w:w="567"/>
        <w:gridCol w:w="1700"/>
        <w:gridCol w:w="567"/>
        <w:gridCol w:w="143"/>
        <w:gridCol w:w="281"/>
        <w:gridCol w:w="993"/>
        <w:gridCol w:w="2127"/>
      </w:tblGrid>
      <w:tr>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rFonts w:hint="default"/>
                <w:lang w:val="en-US"/>
              </w:rPr>
            </w:pPr>
            <w:r>
              <w:rPr>
                <w:rFonts w:hint="eastAsia" w:eastAsia="宋体"/>
                <w:lang w:val="en-US" w:eastAsia="zh-CN"/>
              </w:rPr>
              <w:t xml:space="preserve">Editorial correction on </w:t>
            </w:r>
            <w:r>
              <w:t>UE initiated</w:t>
            </w:r>
            <w:r>
              <w:rPr>
                <w:rFonts w:hint="eastAsia" w:eastAsia="宋体"/>
                <w:lang w:val="en-US" w:eastAsia="zh-CN"/>
              </w:rPr>
              <w:t xml:space="preserve"> semi-static channel access parameters in TS 38.214</w:t>
            </w:r>
          </w:p>
        </w:tc>
      </w:tr>
      <w:tr>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ZTE, Sanechips</w:t>
            </w:r>
          </w:p>
        </w:tc>
      </w:tr>
      <w:tr>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fldChar w:fldCharType="begin"/>
            </w:r>
            <w:r>
              <w:instrText xml:space="preserve">DOCPROPERTY  RelatedWis  \* MERGEFORMAT</w:instrText>
            </w:r>
            <w:r>
              <w:fldChar w:fldCharType="separate"/>
            </w:r>
            <w:r>
              <w:t>NR_IIOT_URLLC_enh-Core</w:t>
            </w:r>
            <w:r>
              <w:fldChar w:fldCharType="end"/>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宋体"/>
                <w:lang w:val="en-US" w:eastAsia="zh-CN"/>
              </w:rPr>
            </w:pPr>
            <w:r>
              <w:t>2022-</w:t>
            </w:r>
            <w:r>
              <w:rPr>
                <w:rFonts w:hint="eastAsia" w:eastAsia="宋体"/>
                <w:lang w:val="en-US" w:eastAsia="zh-CN"/>
              </w:rPr>
              <w:t>11-14</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498" w:type="dxa"/>
            <w:shd w:val="pct30" w:color="FFFF00" w:fill="auto"/>
          </w:tcPr>
          <w:p>
            <w:pPr>
              <w:pStyle w:val="118"/>
              <w:spacing w:after="0"/>
              <w:ind w:left="100" w:right="-609"/>
              <w:rPr>
                <w:b/>
              </w:rPr>
            </w:pPr>
            <w:r>
              <w:rPr>
                <w:b/>
              </w:rPr>
              <w:t>F</w:t>
            </w:r>
          </w:p>
        </w:tc>
        <w:tc>
          <w:tcPr>
            <w:tcW w:w="3755"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7299" w:type="dxa"/>
            <w:gridSpan w:val="9"/>
            <w:tcBorders>
              <w:top w:val="single" w:color="auto" w:sz="4" w:space="0"/>
              <w:right w:val="single" w:color="auto" w:sz="4" w:space="0"/>
            </w:tcBorders>
            <w:shd w:val="pct30" w:color="FFFF00" w:fill="auto"/>
          </w:tcPr>
          <w:p>
            <w:pPr>
              <w:pStyle w:val="290"/>
              <w:widowControl w:val="0"/>
              <w:tabs>
                <w:tab w:val="clear" w:pos="1440"/>
              </w:tabs>
              <w:ind w:left="0" w:leftChars="0" w:firstLine="0" w:firstLineChars="0"/>
              <w:rPr>
                <w:rFonts w:hint="default" w:eastAsia="宋体" w:cs="Times New Roman"/>
                <w:sz w:val="20"/>
                <w:szCs w:val="20"/>
                <w:lang w:val="en-US" w:eastAsia="zh-CN"/>
              </w:rPr>
            </w:pPr>
            <w:r>
              <w:rPr>
                <w:rFonts w:hint="eastAsia"/>
                <w:i w:val="0"/>
                <w:iCs w:val="0"/>
                <w:strike w:val="0"/>
                <w:dstrike w:val="0"/>
                <w:color w:val="auto"/>
                <w:sz w:val="20"/>
                <w:szCs w:val="20"/>
                <w:highlight w:val="none"/>
                <w:lang w:val="en-US" w:eastAsia="zh-CN"/>
              </w:rPr>
              <w:t>I</w:t>
            </w:r>
            <w:r>
              <w:rPr>
                <w:rFonts w:hint="eastAsia" w:ascii="Times New Roman" w:hAnsi="Times New Roman" w:eastAsia="宋体" w:cs="Times New Roman"/>
                <w:sz w:val="20"/>
                <w:szCs w:val="20"/>
                <w:lang w:val="en-US" w:eastAsia="zh-CN"/>
              </w:rPr>
              <w:t xml:space="preserve">n section </w:t>
            </w:r>
            <w:r>
              <w:rPr>
                <w:rFonts w:hint="eastAsia" w:eastAsia="宋体" w:cs="Times New Roman"/>
                <w:sz w:val="20"/>
                <w:szCs w:val="20"/>
                <w:lang w:val="en-US" w:eastAsia="zh-CN"/>
              </w:rPr>
              <w:t>6.1.2.3</w:t>
            </w:r>
            <w:r>
              <w:rPr>
                <w:rFonts w:hint="eastAsia"/>
                <w:i w:val="0"/>
                <w:iCs w:val="0"/>
                <w:strike w:val="0"/>
                <w:dstrike w:val="0"/>
                <w:color w:val="auto"/>
                <w:sz w:val="20"/>
                <w:szCs w:val="20"/>
                <w:highlight w:val="none"/>
                <w:lang w:val="en-US" w:eastAsia="zh-CN"/>
              </w:rPr>
              <w:t>, the parameter name</w:t>
            </w:r>
            <w:r>
              <w:rPr>
                <w:rFonts w:hint="eastAsia"/>
                <w:i/>
                <w:iCs/>
                <w:strike w:val="0"/>
                <w:dstrike w:val="0"/>
                <w:color w:val="auto"/>
                <w:sz w:val="20"/>
                <w:szCs w:val="20"/>
                <w:highlight w:val="none"/>
                <w:lang w:val="en-US" w:eastAsia="zh-CN"/>
              </w:rPr>
              <w:t xml:space="preserve"> </w:t>
            </w:r>
            <w:r>
              <w:rPr>
                <w:i/>
                <w:iCs/>
                <w:strike w:val="0"/>
                <w:dstrike w:val="0"/>
                <w:color w:val="auto"/>
                <w:sz w:val="20"/>
                <w:szCs w:val="20"/>
                <w:highlight w:val="none"/>
                <w:lang w:eastAsia="zh-CN"/>
              </w:rPr>
              <w:t>ue-SemiStaticChannelAccessConfig</w:t>
            </w:r>
            <w:r>
              <w:rPr>
                <w:rFonts w:hint="eastAsia"/>
                <w:i/>
                <w:iCs/>
                <w:strike w:val="0"/>
                <w:dstrike w:val="0"/>
                <w:color w:val="auto"/>
                <w:sz w:val="20"/>
                <w:szCs w:val="20"/>
                <w:highlight w:val="none"/>
                <w:lang w:val="en-US" w:eastAsia="zh-CN"/>
              </w:rPr>
              <w:t xml:space="preserve"> </w:t>
            </w:r>
            <w:r>
              <w:rPr>
                <w:rFonts w:hint="eastAsia" w:eastAsia="宋体" w:cs="Times New Roman"/>
                <w:sz w:val="20"/>
                <w:szCs w:val="20"/>
                <w:lang w:val="en-US" w:eastAsia="zh-CN"/>
              </w:rPr>
              <w:t xml:space="preserve">is not aligned with the name in TS 38.331 which should be </w:t>
            </w:r>
            <w:r>
              <w:rPr>
                <w:rFonts w:hint="default" w:ascii="Times New Roman" w:hAnsi="Times New Roman" w:cs="Times New Roman"/>
                <w:i/>
                <w:iCs/>
                <w:sz w:val="20"/>
                <w:szCs w:val="20"/>
              </w:rPr>
              <w:t>semiStaticChannelAccessConfigUE</w:t>
            </w:r>
          </w:p>
          <w:p>
            <w:pPr>
              <w:pStyle w:val="101"/>
            </w:pPr>
            <w:r>
              <w:t xml:space="preserve">SemiStaticChannelAccessConfigUE-r17 ::=    </w:t>
            </w:r>
            <w:r>
              <w:rPr>
                <w:color w:val="993366"/>
              </w:rPr>
              <w:t>SEQUENCE</w:t>
            </w:r>
            <w:r>
              <w:t xml:space="preserve"> {</w:t>
            </w:r>
          </w:p>
          <w:p>
            <w:pPr>
              <w:pStyle w:val="101"/>
            </w:pPr>
            <w:r>
              <w:t xml:space="preserve">    periodUE-r17                               </w:t>
            </w:r>
            <w:r>
              <w:rPr>
                <w:color w:val="993366"/>
              </w:rPr>
              <w:t>ENUMERATED</w:t>
            </w:r>
            <w:r>
              <w:t xml:space="preserve"> {ms1, ms2, ms2dot5, ms4, ms5, ms10, spare2, spare1},</w:t>
            </w:r>
          </w:p>
          <w:p>
            <w:pPr>
              <w:pStyle w:val="101"/>
            </w:pPr>
            <w:r>
              <w:t xml:space="preserve">    offsetUE-r17                               </w:t>
            </w:r>
            <w:r>
              <w:rPr>
                <w:color w:val="993366"/>
              </w:rPr>
              <w:t>INTEGER</w:t>
            </w:r>
            <w:r>
              <w:t xml:space="preserve"> (0..559)</w:t>
            </w:r>
          </w:p>
          <w:p>
            <w:pPr>
              <w:pStyle w:val="101"/>
            </w:pPr>
            <w:r>
              <w:t>}</w:t>
            </w:r>
          </w:p>
          <w:p>
            <w:pPr>
              <w:pStyle w:val="290"/>
              <w:widowControl w:val="0"/>
              <w:tabs>
                <w:tab w:val="clear" w:pos="1440"/>
              </w:tabs>
              <w:ind w:left="0" w:leftChars="0" w:firstLine="0" w:firstLineChars="0"/>
              <w:rPr>
                <w:rFonts w:hint="eastAsia" w:eastAsia="宋体" w:cs="Times New Roman"/>
                <w:sz w:val="20"/>
                <w:szCs w:val="20"/>
                <w:lang w:val="en-US" w:eastAsia="zh-CN"/>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r>
              <w:rPr>
                <w:b/>
                <w:i/>
              </w:rPr>
              <w:t>Summary of change:</w:t>
            </w:r>
          </w:p>
        </w:tc>
        <w:tc>
          <w:tcPr>
            <w:tcW w:w="7299" w:type="dxa"/>
            <w:gridSpan w:val="9"/>
            <w:tcBorders>
              <w:right w:val="single" w:color="auto" w:sz="4" w:space="0"/>
            </w:tcBorders>
            <w:shd w:val="pct30" w:color="FFFF00" w:fill="auto"/>
          </w:tcPr>
          <w:p>
            <w:pPr>
              <w:pStyle w:val="118"/>
              <w:spacing w:after="0"/>
              <w:rPr>
                <w:rFonts w:hint="eastAsia" w:ascii="Times New Roman" w:hAnsi="Times New Roman" w:eastAsia="宋体" w:cs="Times New Roman"/>
                <w:sz w:val="20"/>
                <w:szCs w:val="20"/>
                <w:lang w:val="en-US" w:eastAsia="zh-CN"/>
              </w:rPr>
            </w:pPr>
            <w:r>
              <w:rPr>
                <w:rFonts w:hint="default" w:ascii="Times New Roman" w:hAnsi="Times New Roman" w:cs="Times New Roman"/>
                <w:i/>
                <w:iCs/>
                <w:strike w:val="0"/>
                <w:dstrike w:val="0"/>
                <w:color w:val="auto"/>
                <w:highlight w:val="none"/>
                <w:lang w:eastAsia="zh-CN"/>
              </w:rPr>
              <w:t>ue-SemiStaticChannelAccessConfig</w:t>
            </w:r>
            <w:r>
              <w:rPr>
                <w:rFonts w:hint="eastAsia"/>
                <w:i/>
                <w:iCs/>
                <w:strike w:val="0"/>
                <w:dstrike w:val="0"/>
                <w:color w:val="auto"/>
                <w:highlight w:val="none"/>
                <w:lang w:val="en-US" w:eastAsia="zh-CN"/>
              </w:rPr>
              <w:t xml:space="preserve"> </w:t>
            </w:r>
            <w:r>
              <w:rPr>
                <w:rFonts w:hint="eastAsia" w:ascii="Times New Roman" w:hAnsi="Times New Roman" w:eastAsia="宋体" w:cs="Times New Roman"/>
                <w:i w:val="0"/>
                <w:iCs/>
                <w:sz w:val="20"/>
                <w:szCs w:val="20"/>
                <w:highlight w:val="none"/>
                <w:lang w:val="en-US" w:eastAsia="zh-CN"/>
              </w:rPr>
              <w:t>i</w:t>
            </w:r>
            <w:r>
              <w:rPr>
                <w:rFonts w:hint="eastAsia" w:ascii="Times New Roman" w:hAnsi="Times New Roman" w:eastAsia="宋体" w:cs="Times New Roman"/>
                <w:sz w:val="20"/>
                <w:szCs w:val="20"/>
                <w:lang w:val="en-US" w:eastAsia="zh-CN"/>
              </w:rPr>
              <w:t xml:space="preserve">n section 6.1.2.3 is changed to </w:t>
            </w:r>
            <w:r>
              <w:rPr>
                <w:rFonts w:hint="default" w:ascii="Times New Roman" w:hAnsi="Times New Roman" w:cs="Times New Roman"/>
                <w:i/>
                <w:iCs/>
              </w:rPr>
              <w:t>semiStaticChannelAccessConfigUE</w:t>
            </w:r>
            <w:r>
              <w:rPr>
                <w:rFonts w:hint="eastAsia" w:ascii="Times New Roman" w:hAnsi="Times New Roman" w:eastAsia="宋体" w:cs="Times New Roman"/>
                <w:i w:val="0"/>
                <w:iCs/>
                <w:sz w:val="20"/>
                <w:szCs w:val="20"/>
                <w:highlight w:val="none"/>
                <w:lang w:val="en-US" w:eastAsia="zh-CN"/>
              </w:rPr>
              <w:t>.</w:t>
            </w:r>
          </w:p>
          <w:p>
            <w:pPr>
              <w:pStyle w:val="118"/>
              <w:spacing w:after="0"/>
              <w:ind w:left="100"/>
              <w:rPr>
                <w:lang w:eastAsia="ko-KR"/>
              </w:rPr>
            </w:pPr>
          </w:p>
        </w:tc>
      </w:tr>
      <w:tr>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c>
          <w:tcPr>
            <w:tcW w:w="2341"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7299" w:type="dxa"/>
            <w:gridSpan w:val="9"/>
            <w:tcBorders>
              <w:bottom w:val="single" w:color="auto" w:sz="4" w:space="0"/>
              <w:right w:val="single" w:color="auto" w:sz="4" w:space="0"/>
            </w:tcBorders>
            <w:shd w:val="pct30" w:color="FFFF00" w:fill="auto"/>
          </w:tcPr>
          <w:p>
            <w:pPr>
              <w:pStyle w:val="118"/>
              <w:spacing w:after="0"/>
              <w:rPr>
                <w:rFonts w:hint="default" w:eastAsia="宋体"/>
                <w:lang w:val="en-US" w:eastAsia="zh-CN"/>
              </w:rPr>
            </w:pPr>
            <w:r>
              <w:rPr>
                <w:rFonts w:hint="eastAsia" w:ascii="Times New Roman" w:hAnsi="Times New Roman" w:eastAsia="宋体" w:cs="Times New Roman"/>
                <w:i w:val="0"/>
                <w:iCs w:val="0"/>
                <w:sz w:val="20"/>
                <w:szCs w:val="20"/>
                <w:lang w:val="en-US" w:eastAsia="zh-CN"/>
              </w:rPr>
              <w:t>Parameter name misalignment</w:t>
            </w:r>
          </w:p>
        </w:tc>
      </w:tr>
      <w:tr>
        <w:tc>
          <w:tcPr>
            <w:tcW w:w="2341" w:type="dxa"/>
            <w:gridSpan w:val="2"/>
          </w:tcPr>
          <w:p>
            <w:pPr>
              <w:pStyle w:val="118"/>
              <w:spacing w:after="0"/>
              <w:rPr>
                <w:b/>
                <w:i/>
                <w:sz w:val="8"/>
                <w:szCs w:val="8"/>
              </w:rPr>
            </w:pPr>
          </w:p>
        </w:tc>
        <w:tc>
          <w:tcPr>
            <w:tcW w:w="7299" w:type="dxa"/>
            <w:gridSpan w:val="9"/>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7299" w:type="dxa"/>
            <w:gridSpan w:val="9"/>
            <w:tcBorders>
              <w:top w:val="single" w:color="auto" w:sz="4" w:space="0"/>
              <w:right w:val="single" w:color="auto" w:sz="4" w:space="0"/>
            </w:tcBorders>
            <w:shd w:val="pct30" w:color="FFFF00" w:fill="auto"/>
          </w:tcPr>
          <w:p>
            <w:pPr>
              <w:pStyle w:val="118"/>
              <w:spacing w:after="0"/>
              <w:rPr>
                <w:rFonts w:hint="default" w:eastAsia="宋体"/>
                <w:lang w:val="en-US" w:eastAsia="zh-CN"/>
              </w:rPr>
            </w:pPr>
            <w:r>
              <w:rPr>
                <w:rFonts w:hint="default" w:ascii="Times New Roman" w:hAnsi="Times New Roman" w:eastAsia="宋体" w:cs="Times New Roman"/>
                <w:lang w:val="en-US" w:eastAsia="zh-CN"/>
              </w:rPr>
              <w:t>6.1.2.3</w:t>
            </w:r>
          </w:p>
        </w:tc>
      </w:tr>
      <w:tr>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p>
        </w:tc>
        <w:tc>
          <w:tcPr>
            <w:tcW w:w="637"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r>
              <w:rPr>
                <w:b/>
                <w:i/>
              </w:rPr>
              <w:t>Other specs</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r>
              <w:rPr>
                <w:b/>
                <w:i/>
              </w:rPr>
              <w:t>affected:</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c>
          <w:tcPr>
            <w:tcW w:w="2341" w:type="dxa"/>
            <w:gridSpan w:val="2"/>
            <w:tcBorders>
              <w:left w:val="single" w:color="auto" w:sz="4" w:space="0"/>
            </w:tcBorders>
          </w:tcPr>
          <w:p>
            <w:pPr>
              <w:pStyle w:val="118"/>
              <w:spacing w:after="0"/>
              <w:rPr>
                <w:b/>
                <w:i/>
              </w:rPr>
            </w:pPr>
            <w:r>
              <w:rPr>
                <w:b/>
                <w:i/>
              </w:rPr>
              <w:t>(show related CRs)</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c>
          <w:tcPr>
            <w:tcW w:w="2341" w:type="dxa"/>
            <w:gridSpan w:val="2"/>
            <w:tcBorders>
              <w:left w:val="single" w:color="auto" w:sz="4" w:space="0"/>
            </w:tcBorders>
          </w:tcPr>
          <w:p>
            <w:pPr>
              <w:pStyle w:val="118"/>
              <w:spacing w:after="0"/>
              <w:rPr>
                <w:b/>
                <w:i/>
              </w:rPr>
            </w:pPr>
          </w:p>
        </w:tc>
        <w:tc>
          <w:tcPr>
            <w:tcW w:w="7299" w:type="dxa"/>
            <w:gridSpan w:val="9"/>
            <w:tcBorders>
              <w:right w:val="single" w:color="auto" w:sz="4" w:space="0"/>
            </w:tcBorders>
          </w:tcPr>
          <w:p>
            <w:pPr>
              <w:pStyle w:val="118"/>
              <w:spacing w:after="0"/>
            </w:pPr>
          </w:p>
        </w:tc>
      </w:tr>
      <w:tr>
        <w:tc>
          <w:tcPr>
            <w:tcW w:w="2341"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7299"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p>
        </w:tc>
      </w:tr>
      <w:tr>
        <w:tblPrEx>
          <w:tblCellMar>
            <w:top w:w="0" w:type="dxa"/>
            <w:left w:w="42" w:type="dxa"/>
            <w:bottom w:w="0" w:type="dxa"/>
            <w:right w:w="42" w:type="dxa"/>
          </w:tblCellMar>
        </w:tblPrEx>
        <w:tc>
          <w:tcPr>
            <w:tcW w:w="2341"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7299"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7299"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p>
        </w:tc>
      </w:tr>
    </w:tbl>
    <w:p>
      <w:pPr>
        <w:pStyle w:val="118"/>
        <w:spacing w:after="0"/>
        <w:rPr>
          <w:sz w:val="8"/>
          <w:szCs w:val="8"/>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pBdr>
          <w:bottom w:val="double" w:color="auto" w:sz="6" w:space="1"/>
        </w:pBdr>
      </w:pPr>
    </w:p>
    <w:p>
      <w:pPr>
        <w:widowControl w:val="0"/>
        <w:spacing w:line="240" w:lineRule="auto"/>
        <w:jc w:val="center"/>
      </w:pPr>
      <w:r>
        <w:rPr>
          <w:b/>
          <w:bCs/>
          <w:color w:val="FF0000"/>
          <w:lang w:eastAsia="zh-CN"/>
        </w:rPr>
        <w:t>&lt; Unchanged text omitted &gt;</w:t>
      </w:r>
    </w:p>
    <w:p>
      <w:pPr>
        <w:pStyle w:val="5"/>
        <w:rPr>
          <w:color w:val="000000" w:themeColor="text1"/>
          <w:lang w:eastAsia="zh-CN"/>
          <w14:textFill>
            <w14:solidFill>
              <w14:schemeClr w14:val="tx1"/>
            </w14:solidFill>
          </w14:textFill>
        </w:rPr>
      </w:pPr>
      <w:bookmarkStart w:id="1" w:name="_Toc27299936"/>
      <w:bookmarkStart w:id="2" w:name="_Toc29673351"/>
      <w:bookmarkStart w:id="3" w:name="_Toc29673210"/>
      <w:bookmarkStart w:id="4" w:name="_Toc45810619"/>
      <w:bookmarkStart w:id="5" w:name="_Toc29674344"/>
      <w:bookmarkStart w:id="6" w:name="_Toc114223868"/>
      <w:bookmarkStart w:id="7" w:name="_Toc36645574"/>
      <w:bookmarkStart w:id="8" w:name="_Toc20318038"/>
      <w:bookmarkStart w:id="9" w:name="_Toc11352148"/>
      <w:r>
        <w:t>6.1.2.3</w:t>
      </w:r>
      <w:r>
        <w:tab/>
      </w:r>
      <w:r>
        <w:t>Resource allocation for uplink transmission with configured grant</w:t>
      </w:r>
      <w:bookmarkEnd w:id="1"/>
      <w:bookmarkEnd w:id="2"/>
      <w:bookmarkEnd w:id="3"/>
      <w:bookmarkEnd w:id="4"/>
      <w:bookmarkEnd w:id="5"/>
      <w:bookmarkEnd w:id="6"/>
      <w:bookmarkEnd w:id="7"/>
      <w:bookmarkEnd w:id="8"/>
      <w:bookmarkEnd w:id="9"/>
    </w:p>
    <w:p>
      <w:pPr>
        <w:overflowPunct w:val="0"/>
        <w:autoSpaceDE w:val="0"/>
        <w:autoSpaceDN w:val="0"/>
        <w:rPr>
          <w:color w:val="auto"/>
          <w:highlight w:val="none"/>
        </w:rPr>
      </w:pPr>
      <w:r>
        <w:t xml:space="preserve">For operation with shared spectrum channel access, and </w:t>
      </w:r>
      <w:r>
        <w:rPr>
          <w:color w:val="000000" w:themeColor="text1"/>
          <w14:textFill>
            <w14:solidFill>
              <w14:schemeClr w14:val="tx1"/>
            </w14:solidFill>
          </w14:textFill>
        </w:rPr>
        <w:t>when the higher layer parameter</w:t>
      </w:r>
      <w:r>
        <w:rPr>
          <w:rFonts w:hint="eastAsia" w:eastAsia="宋体"/>
          <w:color w:val="000000" w:themeColor="text1"/>
          <w:lang w:val="en-US" w:eastAsia="zh-CN"/>
          <w14:textFill>
            <w14:solidFill>
              <w14:schemeClr w14:val="tx1"/>
            </w14:solidFill>
          </w14:textFill>
        </w:rPr>
        <w:t xml:space="preserve"> </w:t>
      </w:r>
      <w:r>
        <w:rPr>
          <w:i/>
          <w:iCs/>
          <w:color w:val="FF0000"/>
        </w:rPr>
        <w:t>semiStaticChannelAccessConfigUE</w:t>
      </w:r>
      <w:r>
        <w:rPr>
          <w:rFonts w:hint="eastAsia" w:eastAsia="宋体"/>
          <w:i/>
          <w:iCs/>
          <w:color w:val="FF0000"/>
          <w:lang w:val="en-US" w:eastAsia="zh-CN"/>
        </w:rPr>
        <w:t xml:space="preserve"> </w:t>
      </w:r>
      <w:r>
        <w:rPr>
          <w:i/>
          <w:iCs/>
          <w:strike/>
          <w:dstrike w:val="0"/>
          <w:color w:val="FF0000"/>
          <w:highlight w:val="none"/>
          <w:lang w:eastAsia="zh-CN"/>
        </w:rPr>
        <w:t>ue-SemiStaticChannelAccessConfig</w:t>
      </w:r>
      <w:r>
        <w:rPr>
          <w:i/>
          <w:iCs/>
          <w:color w:val="auto"/>
          <w:highlight w:val="none"/>
        </w:rPr>
        <w:t xml:space="preserve"> </w:t>
      </w:r>
      <w:r>
        <w:rPr>
          <w:color w:val="auto"/>
          <w:highlight w:val="none"/>
        </w:rPr>
        <w:t xml:space="preserve">is not configured, where a UE is performing uplink transmission with configured grants in contiguous OFDM symbols on all resource blocks of an RB set, for the first such UL transmission the UE determines a duration of a cyclic prefix extension </w:t>
      </w:r>
      <w:r>
        <w:rPr>
          <w:i/>
          <w:iCs/>
          <w:color w:val="auto"/>
          <w:highlight w:val="none"/>
        </w:rPr>
        <w:t>T</w:t>
      </w:r>
      <w:r>
        <w:rPr>
          <w:i/>
          <w:iCs/>
          <w:color w:val="auto"/>
          <w:highlight w:val="none"/>
          <w:vertAlign w:val="subscript"/>
        </w:rPr>
        <w:t>ext</w:t>
      </w:r>
      <w:r>
        <w:rPr>
          <w:color w:val="auto"/>
          <w:highlight w:val="none"/>
        </w:rPr>
        <w:t xml:space="preserve"> to be applied for transmission according to [4, TS 38.211] where the index for </w:t>
      </w:r>
      <m:oMath>
        <m:sSub>
          <m:sSubPr>
            <m:ctrlPr>
              <w:rPr>
                <w:rFonts w:ascii="Cambria Math" w:hAnsi="Cambria Math" w:cs="Arial"/>
                <w:b/>
                <w:bCs/>
                <w:color w:val="auto"/>
                <w:sz w:val="18"/>
                <w:szCs w:val="18"/>
                <w:highlight w:val="none"/>
              </w:rPr>
            </m:ctrlPr>
          </m:sSubPr>
          <m:e>
            <m:r>
              <m:rPr>
                <m:sty m:val="p"/>
              </m:rPr>
              <w:rPr>
                <w:rFonts w:ascii="Cambria Math" w:hAnsi="Cambria Math"/>
                <w:color w:val="auto"/>
                <w:highlight w:val="none"/>
              </w:rPr>
              <m:t>Δ</m:t>
            </m:r>
            <m:ctrlPr>
              <w:rPr>
                <w:rFonts w:ascii="Cambria Math" w:hAnsi="Cambria Math" w:cs="Arial"/>
                <w:b/>
                <w:bCs/>
                <w:color w:val="auto"/>
                <w:sz w:val="18"/>
                <w:szCs w:val="18"/>
                <w:highlight w:val="none"/>
              </w:rPr>
            </m:ctrlPr>
          </m:e>
          <m:sub>
            <m:r>
              <m:rPr/>
              <w:rPr>
                <w:rFonts w:ascii="Cambria Math" w:hAnsi="Cambria Math"/>
                <w:color w:val="auto"/>
                <w:highlight w:val="none"/>
              </w:rPr>
              <m:t>i</m:t>
            </m:r>
            <m:ctrlPr>
              <w:rPr>
                <w:rFonts w:ascii="Cambria Math" w:hAnsi="Cambria Math" w:cs="Arial"/>
                <w:b/>
                <w:bCs/>
                <w:color w:val="auto"/>
                <w:sz w:val="18"/>
                <w:szCs w:val="18"/>
                <w:highlight w:val="none"/>
              </w:rPr>
            </m:ctrlPr>
          </m:sub>
        </m:sSub>
      </m:oMath>
      <w:r>
        <w:rPr>
          <w:color w:val="auto"/>
          <w:highlight w:val="none"/>
        </w:rPr>
        <w:t xml:space="preserve"> [4, TS 38.211] is chosen randomly from a set of values configured by higher layers according to the following rule:</w:t>
      </w:r>
    </w:p>
    <w:p>
      <w:pPr>
        <w:pStyle w:val="112"/>
        <w:rPr>
          <w:color w:val="auto"/>
          <w:highlight w:val="none"/>
          <w:lang w:val="en-US" w:eastAsia="en-GB"/>
        </w:rPr>
      </w:pPr>
      <w:r>
        <w:rPr>
          <w:color w:val="auto"/>
          <w:highlight w:val="none"/>
        </w:rPr>
        <w:t>-</w:t>
      </w:r>
      <w:r>
        <w:rPr>
          <w:color w:val="auto"/>
          <w:highlight w:val="none"/>
        </w:rPr>
        <w:tab/>
      </w:r>
      <w:r>
        <w:rPr>
          <w:color w:val="auto"/>
          <w:highlight w:val="none"/>
        </w:rPr>
        <w:t xml:space="preserve">If the first such UL transmission is within a channel occupancy initiated by the gNB (defined in Clause 4 of [16, TS 37.213]), the set of values is determined by </w:t>
      </w:r>
      <w:r>
        <w:rPr>
          <w:i/>
          <w:iCs/>
          <w:color w:val="auto"/>
          <w:highlight w:val="none"/>
        </w:rPr>
        <w:t>cg-StartingFullBW-InsideCOT</w:t>
      </w:r>
      <w:r>
        <w:rPr>
          <w:color w:val="auto"/>
          <w:highlight w:val="none"/>
        </w:rPr>
        <w:t>;</w:t>
      </w:r>
    </w:p>
    <w:p>
      <w:pPr>
        <w:pStyle w:val="112"/>
        <w:rPr>
          <w:color w:val="auto"/>
          <w:highlight w:val="none"/>
        </w:rPr>
      </w:pPr>
      <w:r>
        <w:rPr>
          <w:color w:val="auto"/>
          <w:highlight w:val="none"/>
        </w:rPr>
        <w:t>-</w:t>
      </w:r>
      <w:r>
        <w:rPr>
          <w:color w:val="auto"/>
          <w:highlight w:val="none"/>
        </w:rPr>
        <w:tab/>
      </w:r>
      <w:r>
        <w:rPr>
          <w:color w:val="auto"/>
          <w:highlight w:val="none"/>
        </w:rPr>
        <w:t xml:space="preserve">otherwise, the set of values is determined by </w:t>
      </w:r>
      <w:r>
        <w:rPr>
          <w:i/>
          <w:iCs/>
          <w:color w:val="auto"/>
          <w:highlight w:val="none"/>
        </w:rPr>
        <w:t>cg-StartingFullBW-OutsideCOT</w:t>
      </w:r>
      <w:r>
        <w:rPr>
          <w:color w:val="auto"/>
          <w:highlight w:val="none"/>
        </w:rPr>
        <w:t>.</w:t>
      </w:r>
    </w:p>
    <w:p>
      <w:pPr>
        <w:overflowPunct w:val="0"/>
        <w:autoSpaceDE w:val="0"/>
        <w:autoSpaceDN w:val="0"/>
      </w:pPr>
      <w:r>
        <w:rPr>
          <w:color w:val="auto"/>
          <w:highlight w:val="none"/>
        </w:rPr>
        <w:t xml:space="preserve">For operation with shared spectrum channel access, and when the higher layer parameter </w:t>
      </w:r>
      <w:r>
        <w:rPr>
          <w:i/>
          <w:iCs/>
          <w:color w:val="FF0000"/>
        </w:rPr>
        <w:t>semiStaticChannelAccessConfigUE</w:t>
      </w:r>
      <w:r>
        <w:rPr>
          <w:rFonts w:hint="eastAsia" w:eastAsia="宋体"/>
          <w:i/>
          <w:iCs/>
          <w:color w:val="FF0000"/>
          <w:lang w:val="en-US" w:eastAsia="zh-CN"/>
        </w:rPr>
        <w:t xml:space="preserve"> </w:t>
      </w:r>
      <w:r>
        <w:rPr>
          <w:i/>
          <w:iCs/>
          <w:strike/>
          <w:dstrike w:val="0"/>
          <w:color w:val="FF0000"/>
          <w:highlight w:val="none"/>
          <w:lang w:eastAsia="zh-CN"/>
        </w:rPr>
        <w:t>ue-SemiStaticChannelAccessConfig</w:t>
      </w:r>
      <w:r>
        <w:rPr>
          <w:i/>
          <w:iCs/>
          <w:color w:val="auto"/>
          <w:highlight w:val="none"/>
        </w:rPr>
        <w:t xml:space="preserve"> </w:t>
      </w:r>
      <w:r>
        <w:rPr>
          <w:color w:val="auto"/>
          <w:highlight w:val="none"/>
        </w:rPr>
        <w:t xml:space="preserve">is not configured, where a UE is performing uplink transmission with configured grants in contiguous OFDM symbols on fewer than all resource blocks of an RB set, for the first such UL transmission the UE determines a duration of a cyclic prefix extension </w:t>
      </w:r>
      <w:r>
        <w:rPr>
          <w:i/>
          <w:iCs/>
          <w:color w:val="auto"/>
          <w:highlight w:val="none"/>
        </w:rPr>
        <w:t>T</w:t>
      </w:r>
      <w:r>
        <w:rPr>
          <w:i/>
          <w:iCs/>
          <w:color w:val="auto"/>
          <w:highlight w:val="none"/>
          <w:vertAlign w:val="subscript"/>
        </w:rPr>
        <w:t>ext</w:t>
      </w:r>
      <w:r>
        <w:rPr>
          <w:color w:val="auto"/>
          <w:highlight w:val="none"/>
        </w:rPr>
        <w:t xml:space="preserve"> to be applied for transmission a</w:t>
      </w:r>
      <w:r>
        <w:t>ccording to [4, TS 38.211] according to the following rule:</w:t>
      </w:r>
    </w:p>
    <w:p>
      <w:pPr>
        <w:pStyle w:val="112"/>
        <w:rPr>
          <w:lang w:val="en-US" w:eastAsia="en-GB"/>
        </w:rPr>
      </w:pPr>
      <w:r>
        <w:t>-</w:t>
      </w:r>
      <w:r>
        <w:tab/>
      </w:r>
      <w:r>
        <w:t xml:space="preserve">If the first such UL transmission is within a channel occupancy initiated by the gNB (defined in Clause 4 of [16, TS 37.213]), the </w:t>
      </w:r>
      <w:r>
        <w:rPr>
          <w:color w:val="000000" w:themeColor="text1"/>
          <w14:textFill>
            <w14:solidFill>
              <w14:schemeClr w14:val="tx1"/>
            </w14:solidFill>
          </w14:textFill>
        </w:rPr>
        <w:t xml:space="preserve">index for </w:t>
      </w:r>
      <m:oMath>
        <m:sSub>
          <m:sSubPr>
            <m:ctrlPr>
              <w:rPr>
                <w:rFonts w:ascii="Cambria Math" w:hAnsi="Cambria Math" w:cs="Arial"/>
                <w:b/>
                <w:bCs/>
                <w:sz w:val="18"/>
                <w:szCs w:val="18"/>
              </w:rPr>
            </m:ctrlPr>
          </m:sSubPr>
          <m:e>
            <m:r>
              <m:rPr>
                <m:sty m:val="p"/>
              </m:rPr>
              <w:rPr>
                <w:rFonts w:ascii="Cambria Math" w:hAnsi="Cambria Math"/>
              </w:rPr>
              <m:t>Δ</m:t>
            </m:r>
            <m:ctrlPr>
              <w:rPr>
                <w:rFonts w:ascii="Cambria Math" w:hAnsi="Cambria Math" w:cs="Arial"/>
                <w:b/>
                <w:bCs/>
                <w:sz w:val="18"/>
                <w:szCs w:val="18"/>
              </w:rPr>
            </m:ctrlPr>
          </m:e>
          <m:sub>
            <m:r>
              <m:rPr/>
              <w:rPr>
                <w:rFonts w:ascii="Cambria Math" w:hAnsi="Cambria Math"/>
              </w:rPr>
              <m:t>i</m:t>
            </m:r>
            <m:ctrlPr>
              <w:rPr>
                <w:rFonts w:ascii="Cambria Math" w:hAnsi="Cambria Math" w:cs="Arial"/>
                <w:b/>
                <w:bCs/>
                <w:sz w:val="18"/>
                <w:szCs w:val="18"/>
              </w:rPr>
            </m:ctrlPr>
          </m:sub>
        </m:sSub>
      </m:oMath>
      <w:r>
        <w:rPr>
          <w:color w:val="000000" w:themeColor="text1"/>
          <w:lang w:val="sv-SE" w:eastAsia="zh-CN"/>
          <w14:textFill>
            <w14:solidFill>
              <w14:schemeClr w14:val="tx1"/>
            </w14:solidFill>
          </w14:textFill>
        </w:rPr>
        <w:t xml:space="preserve"> </w:t>
      </w:r>
      <w:r>
        <w:rPr>
          <w:color w:val="000000" w:themeColor="text1"/>
          <w14:textFill>
            <w14:solidFill>
              <w14:schemeClr w14:val="tx1"/>
            </w14:solidFill>
          </w14:textFill>
        </w:rPr>
        <w:t>[4, TS 38.211]</w:t>
      </w:r>
      <w:r>
        <w:rPr>
          <w:rFonts w:ascii="Calibri" w:hAnsi="Calibri" w:cs="Calibri"/>
          <w:color w:val="000000" w:themeColor="text1"/>
          <w:sz w:val="22"/>
          <w:szCs w:val="22"/>
          <w14:textFill>
            <w14:solidFill>
              <w14:schemeClr w14:val="tx1"/>
            </w14:solidFill>
          </w14:textFill>
        </w:rPr>
        <w:t xml:space="preserve"> </w:t>
      </w:r>
      <w:r>
        <w:t xml:space="preserve"> is equal to </w:t>
      </w:r>
      <w:r>
        <w:rPr>
          <w:i/>
          <w:iCs/>
        </w:rPr>
        <w:t>cg-StartingPartialBW-InsideCOT</w:t>
      </w:r>
      <w:r>
        <w:t>;</w:t>
      </w:r>
    </w:p>
    <w:p>
      <w:pPr>
        <w:pStyle w:val="112"/>
        <w:rPr>
          <w:rFonts w:ascii="Calibri" w:hAnsi="Calibri" w:cs="Calibri"/>
          <w:color w:val="000000" w:themeColor="text1"/>
          <w:sz w:val="22"/>
          <w:szCs w:val="22"/>
          <w14:textFill>
            <w14:solidFill>
              <w14:schemeClr w14:val="tx1"/>
            </w14:solidFill>
          </w14:textFill>
        </w:rPr>
      </w:pPr>
      <w:r>
        <w:t>-</w:t>
      </w:r>
      <w:r>
        <w:tab/>
      </w:r>
      <w:r>
        <w:rPr>
          <w:color w:val="000000" w:themeColor="text1"/>
          <w14:textFill>
            <w14:solidFill>
              <w14:schemeClr w14:val="tx1"/>
            </w14:solidFill>
          </w14:textFill>
        </w:rPr>
        <w:t xml:space="preserve">otherwise, the index for </w:t>
      </w:r>
      <m:oMath>
        <m:sSub>
          <m:sSubPr>
            <m:ctrlPr>
              <w:rPr>
                <w:rFonts w:ascii="Cambria Math" w:hAnsi="Cambria Math" w:cs="Arial"/>
                <w:b/>
                <w:bCs/>
                <w:sz w:val="18"/>
                <w:szCs w:val="18"/>
              </w:rPr>
            </m:ctrlPr>
          </m:sSubPr>
          <m:e>
            <m:r>
              <m:rPr>
                <m:sty m:val="p"/>
              </m:rPr>
              <w:rPr>
                <w:rFonts w:ascii="Cambria Math" w:hAnsi="Cambria Math"/>
              </w:rPr>
              <m:t>Δ</m:t>
            </m:r>
            <m:ctrlPr>
              <w:rPr>
                <w:rFonts w:ascii="Cambria Math" w:hAnsi="Cambria Math" w:cs="Arial"/>
                <w:b/>
                <w:bCs/>
                <w:sz w:val="18"/>
                <w:szCs w:val="18"/>
              </w:rPr>
            </m:ctrlPr>
          </m:e>
          <m:sub>
            <m:r>
              <m:rPr/>
              <w:rPr>
                <w:rFonts w:ascii="Cambria Math" w:hAnsi="Cambria Math"/>
              </w:rPr>
              <m:t>i</m:t>
            </m:r>
            <m:ctrlPr>
              <w:rPr>
                <w:rFonts w:ascii="Cambria Math" w:hAnsi="Cambria Math" w:cs="Arial"/>
                <w:b/>
                <w:bCs/>
                <w:sz w:val="18"/>
                <w:szCs w:val="18"/>
              </w:rPr>
            </m:ctrlPr>
          </m:sub>
        </m:sSub>
      </m:oMath>
      <w:r>
        <w:rPr>
          <w:color w:val="000000" w:themeColor="text1"/>
          <w:lang w:val="sv-SE" w:eastAsia="zh-CN"/>
          <w14:textFill>
            <w14:solidFill>
              <w14:schemeClr w14:val="tx1"/>
            </w14:solidFill>
          </w14:textFill>
        </w:rPr>
        <w:t xml:space="preserve"> </w:t>
      </w:r>
      <w:r>
        <w:rPr>
          <w:color w:val="000000" w:themeColor="text1"/>
          <w14:textFill>
            <w14:solidFill>
              <w14:schemeClr w14:val="tx1"/>
            </w14:solidFill>
          </w14:textFill>
        </w:rPr>
        <w:t>[4, TS 38.211]</w:t>
      </w:r>
      <w:r>
        <w:rPr>
          <w:rFonts w:ascii="Calibri" w:hAnsi="Calibri" w:cs="Calibri"/>
          <w:color w:val="000000" w:themeColor="text1"/>
          <w:sz w:val="22"/>
          <w:szCs w:val="22"/>
          <w14:textFill>
            <w14:solidFill>
              <w14:schemeClr w14:val="tx1"/>
            </w14:solidFill>
          </w14:textFill>
        </w:rPr>
        <w:t xml:space="preserve"> </w:t>
      </w:r>
      <w:r>
        <w:rPr>
          <w:color w:val="000000" w:themeColor="text1"/>
          <w14:textFill>
            <w14:solidFill>
              <w14:schemeClr w14:val="tx1"/>
            </w14:solidFill>
          </w14:textFill>
        </w:rPr>
        <w:t xml:space="preserve"> is equal to </w:t>
      </w:r>
      <w:r>
        <w:rPr>
          <w:i/>
          <w:iCs/>
          <w:color w:val="000000" w:themeColor="text1"/>
          <w:lang w:val="en-US"/>
          <w14:textFill>
            <w14:solidFill>
              <w14:schemeClr w14:val="tx1"/>
            </w14:solidFill>
          </w14:textFill>
        </w:rPr>
        <w:t>cg-StartingPartialBW-OutsideCOT.</w:t>
      </w:r>
    </w:p>
    <w:p>
      <w:pPr>
        <w:widowControl w:val="0"/>
        <w:spacing w:line="240" w:lineRule="auto"/>
        <w:jc w:val="both"/>
        <w:rPr>
          <w:b/>
          <w:bCs/>
          <w:color w:val="FF0000"/>
          <w:lang w:eastAsia="zh-CN"/>
        </w:rPr>
      </w:pPr>
    </w:p>
    <w:p>
      <w:pPr>
        <w:widowControl w:val="0"/>
        <w:spacing w:line="240" w:lineRule="auto"/>
        <w:jc w:val="center"/>
      </w:pPr>
      <w:r>
        <w:rPr>
          <w:b/>
          <w:bCs/>
          <w:color w:val="FF0000"/>
          <w:lang w:eastAsia="zh-CN"/>
        </w:rPr>
        <w:t>&lt; Unchanged text omitted &gt;</w:t>
      </w:r>
    </w:p>
    <w:p>
      <w:pPr>
        <w:pBdr>
          <w:bottom w:val="double" w:color="auto" w:sz="6" w:space="1"/>
        </w:pBd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9257BF9"/>
    <w:rsid w:val="120F203F"/>
    <w:rsid w:val="1BCA01F4"/>
    <w:rsid w:val="22B93577"/>
    <w:rsid w:val="2324190B"/>
    <w:rsid w:val="265F2BF8"/>
    <w:rsid w:val="27FE79B8"/>
    <w:rsid w:val="2BB30C36"/>
    <w:rsid w:val="3137457D"/>
    <w:rsid w:val="313C4912"/>
    <w:rsid w:val="326C034A"/>
    <w:rsid w:val="34307F99"/>
    <w:rsid w:val="3582385B"/>
    <w:rsid w:val="407F4044"/>
    <w:rsid w:val="408B21AB"/>
    <w:rsid w:val="409C0154"/>
    <w:rsid w:val="40CC6C5A"/>
    <w:rsid w:val="40F06304"/>
    <w:rsid w:val="41153DA1"/>
    <w:rsid w:val="44503A25"/>
    <w:rsid w:val="4AA944AD"/>
    <w:rsid w:val="53F5402B"/>
    <w:rsid w:val="582B7C66"/>
    <w:rsid w:val="5A1C1C3B"/>
    <w:rsid w:val="5B9F1143"/>
    <w:rsid w:val="625F03F7"/>
    <w:rsid w:val="635E25E1"/>
    <w:rsid w:val="636B5E8F"/>
    <w:rsid w:val="64637351"/>
    <w:rsid w:val="656A70B4"/>
    <w:rsid w:val="66701E52"/>
    <w:rsid w:val="668659F8"/>
    <w:rsid w:val="68D92AA6"/>
    <w:rsid w:val="6DA41DB7"/>
    <w:rsid w:val="75E33C37"/>
    <w:rsid w:val="7B1858BA"/>
    <w:rsid w:val="7E640E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nhideWhenUsed="0" w:uiPriority="0" w:semiHidden="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Batang" w:cs="Times New Roman"/>
      <w:lang w:val="en-GB" w:eastAsia="en-US" w:bidi="ar-SA"/>
    </w:rPr>
  </w:style>
  <w:style w:type="paragraph" w:customStyle="1" w:styleId="119">
    <w:name w:val="tdoc-header"/>
    <w:qFormat/>
    <w:uiPriority w:val="0"/>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List Paragraph Char"/>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Heading 3 Char"/>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Comment Subject Char"/>
    <w:link w:val="58"/>
    <w:qFormat/>
    <w:uiPriority w:val="99"/>
    <w:rPr>
      <w:rFonts w:ascii="Times New Roman" w:hAnsi="Times New Roman"/>
      <w:b/>
      <w:bCs/>
      <w:lang w:val="en-GB" w:eastAsia="en-US"/>
    </w:rPr>
  </w:style>
  <w:style w:type="character" w:customStyle="1" w:styleId="145">
    <w:name w:val="Balloon Text Char"/>
    <w:link w:val="41"/>
    <w:qFormat/>
    <w:uiPriority w:val="99"/>
    <w:rPr>
      <w:rFonts w:ascii="Tahoma" w:hAnsi="Tahoma" w:cs="Tahoma"/>
      <w:sz w:val="16"/>
      <w:szCs w:val="16"/>
      <w:lang w:val="en-GB" w:eastAsia="en-US"/>
    </w:rPr>
  </w:style>
  <w:style w:type="character" w:customStyle="1" w:styleId="146">
    <w:name w:val="Heading 5 Char"/>
    <w:link w:val="6"/>
    <w:qFormat/>
    <w:uiPriority w:val="0"/>
    <w:rPr>
      <w:rFonts w:ascii="Arial" w:hAnsi="Arial"/>
      <w:sz w:val="22"/>
      <w:lang w:val="en-GB" w:eastAsia="en-US"/>
    </w:rPr>
  </w:style>
  <w:style w:type="character" w:customStyle="1" w:styleId="147">
    <w:name w:val="Heading 4 Char"/>
    <w:link w:val="5"/>
    <w:qFormat/>
    <w:uiPriority w:val="0"/>
    <w:rPr>
      <w:rFonts w:ascii="Arial" w:hAnsi="Arial"/>
      <w:sz w:val="24"/>
      <w:lang w:val="en-GB" w:eastAsia="en-US"/>
    </w:rPr>
  </w:style>
  <w:style w:type="character" w:customStyle="1" w:styleId="148">
    <w:name w:val="Heading 1 Char"/>
    <w:link w:val="2"/>
    <w:qFormat/>
    <w:uiPriority w:val="99"/>
    <w:rPr>
      <w:rFonts w:ascii="Arial" w:hAnsi="Arial"/>
      <w:sz w:val="36"/>
      <w:lang w:val="en-GB" w:eastAsia="en-US"/>
    </w:rPr>
  </w:style>
  <w:style w:type="character" w:customStyle="1" w:styleId="149">
    <w:name w:val="Heading 6 Char"/>
    <w:link w:val="7"/>
    <w:qFormat/>
    <w:uiPriority w:val="9"/>
    <w:rPr>
      <w:rFonts w:ascii="Arial" w:hAnsi="Arial"/>
      <w:lang w:val="en-GB" w:eastAsia="en-US"/>
    </w:rPr>
  </w:style>
  <w:style w:type="character" w:customStyle="1" w:styleId="150">
    <w:name w:val="Heading 7 Char"/>
    <w:link w:val="9"/>
    <w:qFormat/>
    <w:uiPriority w:val="9"/>
    <w:rPr>
      <w:rFonts w:ascii="Arial" w:hAnsi="Arial"/>
      <w:lang w:val="en-GB" w:eastAsia="en-US"/>
    </w:rPr>
  </w:style>
  <w:style w:type="character" w:customStyle="1" w:styleId="151">
    <w:name w:val="Heading 8 Char"/>
    <w:link w:val="10"/>
    <w:qFormat/>
    <w:uiPriority w:val="9"/>
    <w:rPr>
      <w:rFonts w:ascii="Arial" w:hAnsi="Arial"/>
      <w:sz w:val="36"/>
      <w:lang w:val="en-GB" w:eastAsia="en-US"/>
    </w:rPr>
  </w:style>
  <w:style w:type="character" w:customStyle="1" w:styleId="152">
    <w:name w:val="Heading 9 Char"/>
    <w:link w:val="11"/>
    <w:qFormat/>
    <w:uiPriority w:val="9"/>
    <w:rPr>
      <w:rFonts w:ascii="Arial" w:hAnsi="Arial"/>
      <w:sz w:val="36"/>
      <w:lang w:val="en-GB" w:eastAsia="en-US"/>
    </w:rPr>
  </w:style>
  <w:style w:type="character" w:customStyle="1" w:styleId="153">
    <w:name w:val="Header Char"/>
    <w:link w:val="43"/>
    <w:qFormat/>
    <w:uiPriority w:val="0"/>
    <w:rPr>
      <w:rFonts w:ascii="Arial" w:hAnsi="Arial"/>
      <w:b/>
      <w:sz w:val="18"/>
      <w:lang w:val="en-GB" w:eastAsia="en-US"/>
    </w:rPr>
  </w:style>
  <w:style w:type="character" w:customStyle="1" w:styleId="154">
    <w:name w:val="Footer Char"/>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Body Text Char"/>
    <w:basedOn w:val="75"/>
    <w:link w:val="33"/>
    <w:qFormat/>
    <w:uiPriority w:val="0"/>
    <w:rPr>
      <w:rFonts w:ascii="Times New Roman" w:hAnsi="Times New Roman" w:eastAsia="宋体"/>
      <w:lang w:val="en-GB" w:eastAsia="en-GB"/>
    </w:rPr>
  </w:style>
  <w:style w:type="character" w:customStyle="1" w:styleId="159">
    <w:name w:val="Footnote Text Char"/>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2 Char"/>
    <w:link w:val="13"/>
    <w:qFormat/>
    <w:uiPriority w:val="0"/>
    <w:rPr>
      <w:rFonts w:ascii="Times New Roman" w:hAnsi="Times New Roman"/>
      <w:lang w:val="en-GB" w:eastAsia="en-US"/>
    </w:rPr>
  </w:style>
  <w:style w:type="character" w:customStyle="1" w:styleId="163">
    <w:name w:val="List 3 Char"/>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Document Map Char"/>
    <w:link w:val="30"/>
    <w:qFormat/>
    <w:uiPriority w:val="99"/>
    <w:rPr>
      <w:rFonts w:ascii="Tahoma" w:hAnsi="Tahoma" w:cs="Tahoma"/>
      <w:shd w:val="clear" w:color="auto" w:fill="000080"/>
      <w:lang w:val="en-GB" w:eastAsia="en-US"/>
    </w:rPr>
  </w:style>
  <w:style w:type="character" w:customStyle="1" w:styleId="167">
    <w:name w:val="Plain Text Char"/>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Body Text 2 Char"/>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Body Text Indent 2 Char"/>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Body Text Indent 3 Char"/>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Date Char"/>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5">
    <w:name w:val="Revision"/>
    <w:hidden/>
    <w:semiHidden/>
    <w:qFormat/>
    <w:uiPriority w:val="99"/>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Caption Char1"/>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75"/>
    <w:link w:val="272"/>
    <w:qFormat/>
    <w:uiPriority w:val="99"/>
    <w:rPr>
      <w:rFonts w:ascii="Arial" w:hAnsi="Arial"/>
      <w:vanish/>
      <w:sz w:val="16"/>
      <w:szCs w:val="16"/>
      <w:lang w:eastAsia="zh-CN"/>
    </w:rPr>
  </w:style>
  <w:style w:type="paragraph" w:customStyle="1" w:styleId="272">
    <w:name w:val="HTML Top of Form"/>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75"/>
    <w:link w:val="276"/>
    <w:qFormat/>
    <w:uiPriority w:val="99"/>
    <w:rPr>
      <w:rFonts w:ascii="Arial" w:hAnsi="Arial"/>
      <w:vanish/>
      <w:sz w:val="16"/>
      <w:szCs w:val="16"/>
      <w:lang w:eastAsia="zh-CN"/>
    </w:rPr>
  </w:style>
  <w:style w:type="paragraph" w:customStyle="1" w:styleId="276">
    <w:name w:val="HTML Bottom of Form"/>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Subtitle Char"/>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Title Char1"/>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Body Text Indent Char1"/>
    <w:basedOn w:val="75"/>
    <w:link w:val="34"/>
    <w:qFormat/>
    <w:uiPriority w:val="0"/>
    <w:rPr>
      <w:rFonts w:ascii="Times New Roman" w:hAnsi="Times New Roman" w:eastAsia="宋体"/>
      <w:lang w:val="en-GB" w:eastAsia="en-US"/>
    </w:rPr>
  </w:style>
  <w:style w:type="character" w:customStyle="1" w:styleId="311">
    <w:name w:val="Body Text First Indent 2 Char"/>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Preformatted Char"/>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Body Text 3 Char"/>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9"/>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Accent 5"/>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rFonts w:eastAsia="宋体"/>
      <w:b/>
      <w:i/>
      <w:sz w:val="26"/>
    </w:rPr>
  </w:style>
  <w:style w:type="table" w:customStyle="1" w:styleId="565">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rFonts w:eastAsia="宋体"/>
      <w:b/>
      <w:i/>
      <w:sz w:val="26"/>
    </w:rPr>
  </w:style>
  <w:style w:type="table" w:customStyle="1" w:styleId="590">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lang w:val="fr-FR" w:eastAsia="zh-CN"/>
    </w:rPr>
  </w:style>
  <w:style w:type="character" w:customStyle="1" w:styleId="599">
    <w:name w:val="LGTdoc_본문 Char"/>
    <w:link w:val="489"/>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er Char1"/>
    <w:basedOn w:val="75"/>
    <w:semiHidden/>
    <w:qFormat/>
    <w:uiPriority w:val="0"/>
    <w:rPr>
      <w:rFonts w:ascii="Times New Roman" w:hAnsi="Times New Roman" w:eastAsia="Times New Roman" w:cs="Times New Roman"/>
      <w:sz w:val="20"/>
      <w:szCs w:val="20"/>
      <w:lang w:val="en-GB"/>
    </w:rPr>
  </w:style>
  <w:style w:type="character" w:customStyle="1" w:styleId="605">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6">
    <w:name w:val="0 Main text Char"/>
    <w:link w:val="607"/>
    <w:semiHidden/>
    <w:qFormat/>
    <w:locked/>
    <w:uiPriority w:val="0"/>
    <w:rPr>
      <w:rFonts w:eastAsia="Malgun Gothic" w:cs="Batang"/>
    </w:rPr>
  </w:style>
  <w:style w:type="paragraph" w:customStyle="1" w:styleId="607">
    <w:name w:val="0 Main text"/>
    <w:basedOn w:val="1"/>
    <w:link w:val="606"/>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8">
    <w:name w:val="x_msonormal"/>
    <w:basedOn w:val="1"/>
    <w:qFormat/>
    <w:uiPriority w:val="0"/>
    <w:pPr>
      <w:spacing w:after="0"/>
    </w:pPr>
    <w:rPr>
      <w:rFonts w:ascii="Calibri" w:hAnsi="Calibri" w:eastAsia="Malgun Gothic" w:cs="Calibri"/>
      <w:sz w:val="22"/>
      <w:szCs w:val="22"/>
      <w:lang w:val="en-US" w:eastAsia="ko-KR"/>
    </w:rPr>
  </w:style>
  <w:style w:type="paragraph" w:customStyle="1" w:styleId="609">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1">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2">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3">
    <w:name w:val="normaltextrun"/>
    <w:basedOn w:val="75"/>
    <w:qFormat/>
    <w:uiPriority w:val="0"/>
  </w:style>
  <w:style w:type="character" w:customStyle="1" w:styleId="614">
    <w:name w:val="eop"/>
    <w:basedOn w:val="75"/>
    <w:qFormat/>
    <w:uiPriority w:val="0"/>
  </w:style>
  <w:style w:type="character" w:customStyle="1" w:styleId="615">
    <w:name w:val="xxxxxapple-converted-space"/>
    <w:basedOn w:val="75"/>
    <w:qFormat/>
    <w:uiPriority w:val="0"/>
  </w:style>
  <w:style w:type="character" w:customStyle="1" w:styleId="616">
    <w:name w:val="xxapple-converted-space"/>
    <w:basedOn w:val="75"/>
    <w:qFormat/>
    <w:uiPriority w:val="0"/>
  </w:style>
  <w:style w:type="character" w:customStyle="1" w:styleId="617">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0BBCD9-3D69-43EB-B30C-C852D680FE8D}">
  <ds:schemaRefs/>
</ds:datastoreItem>
</file>

<file path=customXml/itemProps2.xml><?xml version="1.0" encoding="utf-8"?>
<ds:datastoreItem xmlns:ds="http://schemas.openxmlformats.org/officeDocument/2006/customXml" ds:itemID="{8CBDD2AB-1D50-4EC7-91E4-FF1F2F9DD153}">
  <ds:schemaRefs/>
</ds:datastoreItem>
</file>

<file path=customXml/itemProps3.xml><?xml version="1.0" encoding="utf-8"?>
<ds:datastoreItem xmlns:ds="http://schemas.openxmlformats.org/officeDocument/2006/customXml" ds:itemID="{512C8797-BDAD-4B69-9F70-2F44BAF449AF}">
  <ds:schemaRefs/>
</ds:datastoreItem>
</file>

<file path=customXml/itemProps4.xml><?xml version="1.0" encoding="utf-8"?>
<ds:datastoreItem xmlns:ds="http://schemas.openxmlformats.org/officeDocument/2006/customXml" ds:itemID="{409794EB-5B17-4D29-9F4B-498903F734CE}">
  <ds:schemaRefs/>
</ds:datastoreItem>
</file>

<file path=docProps/app.xml><?xml version="1.0" encoding="utf-8"?>
<Properties xmlns="http://schemas.openxmlformats.org/officeDocument/2006/extended-properties" xmlns:vt="http://schemas.openxmlformats.org/officeDocument/2006/docPropsVTypes">
  <Template>3gpp_70.dot</Template>
  <Pages>3</Pages>
  <Words>617</Words>
  <Characters>3520</Characters>
  <Lines>29</Lines>
  <Paragraphs>8</Paragraphs>
  <TotalTime>1</TotalTime>
  <ScaleCrop>false</ScaleCrop>
  <LinksUpToDate>false</LinksUpToDate>
  <CharactersWithSpaces>4129</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2022-05-18T04:12:00Z</dcterms:created>
  <dc:creator>10240485</dc:creator>
  <cp:lastModifiedBy>ZTE-Ling Yang</cp:lastModifiedBy>
  <cp:lastPrinted>2411-12-31T08:00:00Z</cp:lastPrinted>
  <dcterms:modified xsi:type="dcterms:W3CDTF">2022-11-07T02:08:23Z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C97D80EC72354BE2AEBE6D3E1E6EFD04</vt:lpwstr>
  </property>
</Properties>
</file>